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88"/>
        <w:gridCol w:w="2906"/>
      </w:tblGrid>
      <w:tr w:rsidR="00E93844" w:rsidRPr="007C0773" w:rsidTr="00DF14AF">
        <w:trPr>
          <w:tblCellSpacing w:w="15" w:type="dxa"/>
        </w:trPr>
        <w:tc>
          <w:tcPr>
            <w:tcW w:w="0" w:type="auto"/>
            <w:shd w:val="clear" w:color="auto" w:fill="990000"/>
            <w:vAlign w:val="center"/>
            <w:hideMark/>
          </w:tcPr>
          <w:p w:rsidR="00E93844" w:rsidRPr="007C0773" w:rsidRDefault="00E93844" w:rsidP="00E93844">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finastéride </w:t>
            </w:r>
          </w:p>
        </w:tc>
        <w:tc>
          <w:tcPr>
            <w:tcW w:w="0" w:type="auto"/>
            <w:vAlign w:val="center"/>
            <w:hideMark/>
          </w:tcPr>
          <w:p w:rsidR="00E93844" w:rsidRPr="007C0773" w:rsidRDefault="00E93844" w:rsidP="00DF14AF">
            <w:pPr>
              <w:spacing w:after="0" w:line="240" w:lineRule="auto"/>
              <w:rPr>
                <w:rFonts w:ascii="Times New Roman" w:eastAsia="Times New Roman" w:hAnsi="Times New Roman" w:cs="Times New Roman"/>
                <w:color w:val="000000"/>
                <w:sz w:val="24"/>
                <w:szCs w:val="24"/>
                <w:lang w:eastAsia="fr-FR"/>
              </w:rPr>
            </w:pPr>
            <w:r w:rsidRPr="007C0773">
              <w:rPr>
                <w:rFonts w:ascii="Verdana" w:eastAsia="Times New Roman" w:hAnsi="Verdana" w:cs="Times New Roman"/>
                <w:b/>
                <w:bCs/>
                <w:color w:val="990000"/>
                <w:sz w:val="24"/>
                <w:szCs w:val="24"/>
                <w:lang w:eastAsia="fr-FR"/>
              </w:rPr>
              <w:t>PHARMACODYNAMIE</w:t>
            </w:r>
          </w:p>
        </w:tc>
      </w:tr>
    </w:tbl>
    <w:p w:rsidR="00E93844" w:rsidRPr="007C0773" w:rsidRDefault="00E93844" w:rsidP="00E9384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Autres médicaments dermatologiques (code ATC : D11AX10). </w:t>
      </w:r>
    </w:p>
    <w:p w:rsidR="00E93844" w:rsidRPr="007C0773" w:rsidRDefault="00E93844" w:rsidP="00E9384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Le </w:t>
      </w:r>
      <w:proofErr w:type="spellStart"/>
      <w:r w:rsidRPr="007C0773">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est un 4-</w:t>
      </w:r>
      <w:proofErr w:type="spellStart"/>
      <w:r w:rsidRPr="007C0773">
        <w:rPr>
          <w:rFonts w:ascii="Times New Roman" w:eastAsia="Times New Roman" w:hAnsi="Times New Roman" w:cs="Times New Roman"/>
          <w:color w:val="000000"/>
          <w:sz w:val="24"/>
          <w:szCs w:val="24"/>
          <w:lang w:eastAsia="fr-FR"/>
        </w:rPr>
        <w:t>azastéroïde</w:t>
      </w:r>
      <w:proofErr w:type="spellEnd"/>
      <w:r w:rsidRPr="007C0773">
        <w:rPr>
          <w:rFonts w:ascii="Times New Roman" w:eastAsia="Times New Roman" w:hAnsi="Times New Roman" w:cs="Times New Roman"/>
          <w:color w:val="000000"/>
          <w:sz w:val="24"/>
          <w:szCs w:val="24"/>
          <w:lang w:eastAsia="fr-FR"/>
        </w:rPr>
        <w:t xml:space="preserve"> qui inhibe la 5 alpha-réductase humaine de type 2 (présente dans les follicules pileux du cuir chevelu) avec une sélectivité 100 fois supérieure à son activité sur la 5 alpha-réductase humaine de type 1. Il bloque ainsi la transformation périphérique de la testostérone en un autre androgène, la </w:t>
      </w:r>
      <w:proofErr w:type="spellStart"/>
      <w:r w:rsidRPr="007C0773">
        <w:rPr>
          <w:rFonts w:ascii="Times New Roman" w:eastAsia="Times New Roman" w:hAnsi="Times New Roman" w:cs="Times New Roman"/>
          <w:color w:val="000000"/>
          <w:sz w:val="24"/>
          <w:szCs w:val="24"/>
          <w:lang w:eastAsia="fr-FR"/>
        </w:rPr>
        <w:t>dihydrotestostérone</w:t>
      </w:r>
      <w:proofErr w:type="spellEnd"/>
      <w:r w:rsidRPr="007C0773">
        <w:rPr>
          <w:rFonts w:ascii="Times New Roman" w:eastAsia="Times New Roman" w:hAnsi="Times New Roman" w:cs="Times New Roman"/>
          <w:color w:val="000000"/>
          <w:sz w:val="24"/>
          <w:szCs w:val="24"/>
          <w:lang w:eastAsia="fr-FR"/>
        </w:rPr>
        <w:t xml:space="preserve"> (DHT). Chez les hommes présentant une alopécie de type masculin, le cuir chevelu des zones </w:t>
      </w:r>
      <w:proofErr w:type="spellStart"/>
      <w:r w:rsidRPr="007C0773">
        <w:rPr>
          <w:rFonts w:ascii="Times New Roman" w:eastAsia="Times New Roman" w:hAnsi="Times New Roman" w:cs="Times New Roman"/>
          <w:color w:val="000000"/>
          <w:sz w:val="24"/>
          <w:szCs w:val="24"/>
          <w:lang w:eastAsia="fr-FR"/>
        </w:rPr>
        <w:t>alopéciées</w:t>
      </w:r>
      <w:proofErr w:type="spellEnd"/>
      <w:r w:rsidRPr="007C0773">
        <w:rPr>
          <w:rFonts w:ascii="Times New Roman" w:eastAsia="Times New Roman" w:hAnsi="Times New Roman" w:cs="Times New Roman"/>
          <w:color w:val="000000"/>
          <w:sz w:val="24"/>
          <w:szCs w:val="24"/>
          <w:lang w:eastAsia="fr-FR"/>
        </w:rPr>
        <w:t xml:space="preserve"> contient des follicules pileux miniaturisés et des taux élevés de DHT. Le </w:t>
      </w:r>
      <w:proofErr w:type="spellStart"/>
      <w:r w:rsidRPr="007C0773">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inhibe un des processus responsables de la miniaturisation des follicules pileux du cuir chevelu, ce qui peut inverser ainsi le processus de calvitie. </w:t>
      </w:r>
    </w:p>
    <w:p w:rsidR="00E93844" w:rsidRPr="007C0773" w:rsidRDefault="00E93844" w:rsidP="00E93844">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i/>
          <w:iCs/>
          <w:color w:val="000000"/>
          <w:sz w:val="24"/>
          <w:szCs w:val="24"/>
          <w:lang w:eastAsia="fr-FR"/>
        </w:rPr>
        <w:t>Études chez l'homme :</w:t>
      </w:r>
      <w:r w:rsidRPr="007C0773">
        <w:rPr>
          <w:rFonts w:ascii="Times New Roman" w:eastAsia="Times New Roman" w:hAnsi="Times New Roman" w:cs="Times New Roman"/>
          <w:color w:val="000000"/>
          <w:sz w:val="24"/>
          <w:szCs w:val="24"/>
          <w:lang w:eastAsia="fr-FR"/>
        </w:rPr>
        <w:t xml:space="preserve"> </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L'efficacité de </w:t>
      </w: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a été démontrée dans trois études réalisées chez 1879 hommes âgés de 18 à 41 ans, présentant une alopécie légère à modérée, mais non complète, du vertex et de la région frontale/médiane. Dans ces études, la repousse des cheveux a été évaluée en utilisant quatre mesures distinctes : le nombre de cheveux, les cotations des photographies du cuir chevelu réalisées par un groupe d'experts dermatologues, l'évaluation des investigateurs et l'auto-évaluation des patients. </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Dans les deux études chez les hommes présentant une alopécie du vertex, le traitement par </w:t>
      </w: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a été poursuivi pendant 5 ans. A partir du 3</w:t>
      </w:r>
      <w:r w:rsidRPr="007C0773">
        <w:rPr>
          <w:rFonts w:ascii="Verdana" w:eastAsia="Times New Roman" w:hAnsi="Verdana" w:cs="Times New Roman"/>
          <w:color w:val="000000"/>
          <w:sz w:val="20"/>
          <w:szCs w:val="20"/>
          <w:vertAlign w:val="superscript"/>
          <w:lang w:eastAsia="fr-FR"/>
        </w:rPr>
        <w:t>e</w:t>
      </w:r>
      <w:r w:rsidRPr="007C0773">
        <w:rPr>
          <w:rFonts w:ascii="Times New Roman" w:eastAsia="Times New Roman" w:hAnsi="Times New Roman" w:cs="Times New Roman"/>
          <w:color w:val="000000"/>
          <w:sz w:val="24"/>
          <w:szCs w:val="24"/>
          <w:lang w:eastAsia="fr-FR"/>
        </w:rPr>
        <w:t xml:space="preserve"> au 6</w:t>
      </w:r>
      <w:r w:rsidRPr="007C0773">
        <w:rPr>
          <w:rFonts w:ascii="Verdana" w:eastAsia="Times New Roman" w:hAnsi="Verdana" w:cs="Times New Roman"/>
          <w:color w:val="000000"/>
          <w:sz w:val="20"/>
          <w:szCs w:val="20"/>
          <w:vertAlign w:val="superscript"/>
          <w:lang w:eastAsia="fr-FR"/>
        </w:rPr>
        <w:t>e</w:t>
      </w:r>
      <w:r w:rsidRPr="007C0773">
        <w:rPr>
          <w:rFonts w:ascii="Times New Roman" w:eastAsia="Times New Roman" w:hAnsi="Times New Roman" w:cs="Times New Roman"/>
          <w:color w:val="000000"/>
          <w:sz w:val="24"/>
          <w:szCs w:val="24"/>
          <w:lang w:eastAsia="fr-FR"/>
        </w:rPr>
        <w:t xml:space="preserve"> mois, les patients traités ont une amélioration par rapport au début de l'étude et par rapport aux patients sous placebo. Alors que les mesures de l'amélioration de la chevelure par rapport aux valeurs initiales chez les hommes traités par </w:t>
      </w: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ont généralement été meilleures à 2 ans, cette amélioration a diminué progressivement par la suite (par exemple le nombre de cheveux dans une zone représentative de 5,1 cm</w:t>
      </w:r>
      <w:r w:rsidRPr="007C0773">
        <w:rPr>
          <w:rFonts w:ascii="Verdana" w:eastAsia="Times New Roman" w:hAnsi="Verdana" w:cs="Times New Roman"/>
          <w:color w:val="000000"/>
          <w:sz w:val="20"/>
          <w:szCs w:val="20"/>
          <w:vertAlign w:val="superscript"/>
          <w:lang w:eastAsia="fr-FR"/>
        </w:rPr>
        <w:t>2</w:t>
      </w:r>
      <w:r w:rsidRPr="007C0773">
        <w:rPr>
          <w:rFonts w:ascii="Times New Roman" w:eastAsia="Times New Roman" w:hAnsi="Times New Roman" w:cs="Times New Roman"/>
          <w:color w:val="000000"/>
          <w:sz w:val="24"/>
          <w:szCs w:val="24"/>
          <w:lang w:eastAsia="fr-FR"/>
        </w:rPr>
        <w:t xml:space="preserve"> a augmenté de 88 cheveux à 2 ans par rapport au nombre initial et de 38 cheveux à 5 ans par rapport au nombre initial), et la chute des cheveux dans le groupe placebo s'est progressivement aggravée par rapport à la situation initiale (diminution de 50 cheveux à 2 ans et de 239 cheveux à 5 ans). </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Par conséquent, bien que l'augmentation du nombre de cheveux par rapport au nombre initial chez les hommes traités par </w:t>
      </w: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ne se soit pas accentuée au-delà de 2 ans, la différence entre les groupes de traitement a continué d'augmenter tout au long des 5 années des études. </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Le traitement par </w:t>
      </w: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pendant 5 ans a permis une stabilisation de la chute des cheveux chez 90 % des hommes d'après la cotation des photographies et chez 93 % d'après l'évaluation des investigateurs. Par ailleurs, d'après le nombre de cheveux, une augmentation de la repousse a été observée chez 65 % des hommes traités par </w:t>
      </w: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chez 48 % d'après la cotation des photographies et chez 77 % d'après l'évaluation des investigateurs. En revanche, dans le groupe placebo, une chute progressive des cheveux a été observée chez 100 % des hommes d'après le nombre de cheveux, chez 75 % d'après la cotation par photographies et chez 38 % d'après l'évaluation des investigateurs. De plus, l'auto-évaluation des patients a montré une augmentation significative de la densité des cheveux, une diminution de la chute des cheveux et une amélioration de l'aspect de la chevelure après 5 ans de traitement par </w:t>
      </w: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w:t>
      </w:r>
      <w:proofErr w:type="spellStart"/>
      <w:r w:rsidRPr="007C0773">
        <w:rPr>
          <w:rFonts w:ascii="Times New Roman" w:eastAsia="Times New Roman" w:hAnsi="Times New Roman" w:cs="Times New Roman"/>
          <w:color w:val="000000"/>
          <w:sz w:val="24"/>
          <w:szCs w:val="24"/>
          <w:lang w:eastAsia="fr-FR"/>
        </w:rPr>
        <w:t>cf</w:t>
      </w:r>
      <w:proofErr w:type="spellEnd"/>
      <w:r w:rsidRPr="007C0773">
        <w:rPr>
          <w:rFonts w:ascii="Times New Roman" w:eastAsia="Times New Roman" w:hAnsi="Times New Roman" w:cs="Times New Roman"/>
          <w:color w:val="000000"/>
          <w:sz w:val="24"/>
          <w:szCs w:val="24"/>
          <w:lang w:eastAsia="fr-FR"/>
        </w:rPr>
        <w:t xml:space="preserve"> tableau ci-dessous). </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Pourcentage de patients améliorés - Évaluation par chacune des 4 mesures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92"/>
        <w:gridCol w:w="1171"/>
        <w:gridCol w:w="1053"/>
        <w:gridCol w:w="1171"/>
        <w:gridCol w:w="933"/>
        <w:gridCol w:w="1171"/>
        <w:gridCol w:w="940"/>
      </w:tblGrid>
      <w:tr w:rsidR="00E93844" w:rsidRPr="007C0773" w:rsidTr="00DF14A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Année 1</w:t>
            </w:r>
            <w:r w:rsidRPr="007C0773">
              <w:rPr>
                <w:rFonts w:ascii="Times New Roman" w:eastAsia="Times New Roman" w:hAnsi="Times New Roman" w:cs="Times New Roman"/>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Année 2</w:t>
            </w:r>
            <w:r w:rsidRPr="007C0773">
              <w:rPr>
                <w:rFonts w:ascii="Times New Roman" w:eastAsia="Times New Roman" w:hAnsi="Times New Roman" w:cs="Times New Roman"/>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Année 5</w:t>
            </w:r>
            <w:r w:rsidRPr="007C0773">
              <w:rPr>
                <w:rFonts w:ascii="Times New Roman" w:eastAsia="Times New Roman" w:hAnsi="Times New Roman" w:cs="Times New Roman"/>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xml:space="preserve"> </w:t>
            </w:r>
          </w:p>
        </w:tc>
      </w:tr>
      <w:tr w:rsidR="00E93844" w:rsidRPr="007C0773" w:rsidTr="00DF14A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Placebo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Placebo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Placebo </w:t>
            </w:r>
          </w:p>
        </w:tc>
      </w:tr>
      <w:tr w:rsidR="00E93844" w:rsidRPr="007C0773" w:rsidTr="00DF14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Nombre de cheveux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679)</w:t>
            </w:r>
            <w:r w:rsidRPr="007C0773">
              <w:rPr>
                <w:rFonts w:ascii="Times New Roman" w:eastAsia="Times New Roman" w:hAnsi="Times New Roman" w:cs="Times New Roman"/>
                <w:color w:val="000000"/>
                <w:sz w:val="24"/>
                <w:szCs w:val="24"/>
                <w:lang w:eastAsia="fr-FR"/>
              </w:rPr>
              <w:b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672)</w:t>
            </w:r>
            <w:r w:rsidRPr="007C0773">
              <w:rPr>
                <w:rFonts w:ascii="Times New Roman" w:eastAsia="Times New Roman" w:hAnsi="Times New Roman" w:cs="Times New Roman"/>
                <w:color w:val="000000"/>
                <w:sz w:val="24"/>
                <w:szCs w:val="24"/>
                <w:lang w:eastAsia="fr-FR"/>
              </w:rPr>
              <w:b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433)</w:t>
            </w:r>
            <w:r w:rsidRPr="007C0773">
              <w:rPr>
                <w:rFonts w:ascii="Times New Roman" w:eastAsia="Times New Roman" w:hAnsi="Times New Roman" w:cs="Times New Roman"/>
                <w:color w:val="000000"/>
                <w:sz w:val="24"/>
                <w:szCs w:val="24"/>
                <w:lang w:eastAsia="fr-FR"/>
              </w:rPr>
              <w:b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47)</w:t>
            </w:r>
            <w:r w:rsidRPr="007C0773">
              <w:rPr>
                <w:rFonts w:ascii="Times New Roman" w:eastAsia="Times New Roman" w:hAnsi="Times New Roman" w:cs="Times New Roman"/>
                <w:color w:val="000000"/>
                <w:sz w:val="24"/>
                <w:szCs w:val="24"/>
                <w:lang w:eastAsia="fr-FR"/>
              </w:rPr>
              <w:b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219)</w:t>
            </w:r>
            <w:r w:rsidRPr="007C0773">
              <w:rPr>
                <w:rFonts w:ascii="Times New Roman" w:eastAsia="Times New Roman" w:hAnsi="Times New Roman" w:cs="Times New Roman"/>
                <w:color w:val="000000"/>
                <w:sz w:val="24"/>
                <w:szCs w:val="24"/>
                <w:lang w:eastAsia="fr-FR"/>
              </w:rPr>
              <w:b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15)</w:t>
            </w:r>
            <w:r w:rsidRPr="007C0773">
              <w:rPr>
                <w:rFonts w:ascii="Times New Roman" w:eastAsia="Times New Roman" w:hAnsi="Times New Roman" w:cs="Times New Roman"/>
                <w:color w:val="000000"/>
                <w:sz w:val="24"/>
                <w:szCs w:val="24"/>
                <w:lang w:eastAsia="fr-FR"/>
              </w:rPr>
              <w:br/>
              <w:t xml:space="preserve">0 </w:t>
            </w:r>
          </w:p>
        </w:tc>
      </w:tr>
      <w:tr w:rsidR="00E93844" w:rsidRPr="007C0773" w:rsidTr="00DF14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Cotation globale par photographies du cuir chevelu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720)</w:t>
            </w:r>
            <w:r w:rsidRPr="007C0773">
              <w:rPr>
                <w:rFonts w:ascii="Times New Roman" w:eastAsia="Times New Roman" w:hAnsi="Times New Roman" w:cs="Times New Roman"/>
                <w:color w:val="000000"/>
                <w:sz w:val="24"/>
                <w:szCs w:val="24"/>
                <w:lang w:eastAsia="fr-FR"/>
              </w:rPr>
              <w:b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709)</w:t>
            </w:r>
            <w:r w:rsidRPr="007C0773">
              <w:rPr>
                <w:rFonts w:ascii="Times New Roman" w:eastAsia="Times New Roman" w:hAnsi="Times New Roman" w:cs="Times New Roman"/>
                <w:color w:val="000000"/>
                <w:sz w:val="24"/>
                <w:szCs w:val="24"/>
                <w:lang w:eastAsia="fr-FR"/>
              </w:rPr>
              <w:b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508)</w:t>
            </w:r>
            <w:r w:rsidRPr="007C0773">
              <w:rPr>
                <w:rFonts w:ascii="Times New Roman" w:eastAsia="Times New Roman" w:hAnsi="Times New Roman" w:cs="Times New Roman"/>
                <w:color w:val="000000"/>
                <w:sz w:val="24"/>
                <w:szCs w:val="24"/>
                <w:lang w:eastAsia="fr-FR"/>
              </w:rPr>
              <w:b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55)</w:t>
            </w:r>
            <w:r w:rsidRPr="007C0773">
              <w:rPr>
                <w:rFonts w:ascii="Times New Roman" w:eastAsia="Times New Roman" w:hAnsi="Times New Roman" w:cs="Times New Roman"/>
                <w:color w:val="000000"/>
                <w:sz w:val="24"/>
                <w:szCs w:val="24"/>
                <w:lang w:eastAsia="fr-FR"/>
              </w:rPr>
              <w:b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279)</w:t>
            </w:r>
            <w:r w:rsidRPr="007C0773">
              <w:rPr>
                <w:rFonts w:ascii="Times New Roman" w:eastAsia="Times New Roman" w:hAnsi="Times New Roman" w:cs="Times New Roman"/>
                <w:color w:val="000000"/>
                <w:sz w:val="24"/>
                <w:szCs w:val="24"/>
                <w:lang w:eastAsia="fr-FR"/>
              </w:rPr>
              <w:b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16)</w:t>
            </w:r>
            <w:r w:rsidRPr="007C0773">
              <w:rPr>
                <w:rFonts w:ascii="Times New Roman" w:eastAsia="Times New Roman" w:hAnsi="Times New Roman" w:cs="Times New Roman"/>
                <w:color w:val="000000"/>
                <w:sz w:val="24"/>
                <w:szCs w:val="24"/>
                <w:lang w:eastAsia="fr-FR"/>
              </w:rPr>
              <w:br/>
              <w:t xml:space="preserve">6 </w:t>
            </w:r>
          </w:p>
        </w:tc>
      </w:tr>
      <w:tr w:rsidR="00E93844" w:rsidRPr="007C0773" w:rsidTr="00DF14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Évaluation des investigateurs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748)</w:t>
            </w:r>
            <w:r w:rsidRPr="007C0773">
              <w:rPr>
                <w:rFonts w:ascii="Times New Roman" w:eastAsia="Times New Roman" w:hAnsi="Times New Roman" w:cs="Times New Roman"/>
                <w:color w:val="000000"/>
                <w:sz w:val="24"/>
                <w:szCs w:val="24"/>
                <w:lang w:eastAsia="fr-FR"/>
              </w:rPr>
              <w:b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747)</w:t>
            </w:r>
            <w:r w:rsidRPr="007C0773">
              <w:rPr>
                <w:rFonts w:ascii="Times New Roman" w:eastAsia="Times New Roman" w:hAnsi="Times New Roman" w:cs="Times New Roman"/>
                <w:color w:val="000000"/>
                <w:sz w:val="24"/>
                <w:szCs w:val="24"/>
                <w:lang w:eastAsia="fr-FR"/>
              </w:rPr>
              <w:b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535)</w:t>
            </w:r>
            <w:r w:rsidRPr="007C0773">
              <w:rPr>
                <w:rFonts w:ascii="Times New Roman" w:eastAsia="Times New Roman" w:hAnsi="Times New Roman" w:cs="Times New Roman"/>
                <w:color w:val="000000"/>
                <w:sz w:val="24"/>
                <w:szCs w:val="24"/>
                <w:lang w:eastAsia="fr-FR"/>
              </w:rPr>
              <w:b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60)</w:t>
            </w:r>
            <w:r w:rsidRPr="007C0773">
              <w:rPr>
                <w:rFonts w:ascii="Times New Roman" w:eastAsia="Times New Roman" w:hAnsi="Times New Roman" w:cs="Times New Roman"/>
                <w:color w:val="000000"/>
                <w:sz w:val="24"/>
                <w:szCs w:val="24"/>
                <w:lang w:eastAsia="fr-FR"/>
              </w:rPr>
              <w:b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271)</w:t>
            </w:r>
            <w:r w:rsidRPr="007C0773">
              <w:rPr>
                <w:rFonts w:ascii="Times New Roman" w:eastAsia="Times New Roman" w:hAnsi="Times New Roman" w:cs="Times New Roman"/>
                <w:color w:val="000000"/>
                <w:sz w:val="24"/>
                <w:szCs w:val="24"/>
                <w:lang w:eastAsia="fr-FR"/>
              </w:rPr>
              <w:b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13)</w:t>
            </w:r>
            <w:r w:rsidRPr="007C0773">
              <w:rPr>
                <w:rFonts w:ascii="Times New Roman" w:eastAsia="Times New Roman" w:hAnsi="Times New Roman" w:cs="Times New Roman"/>
                <w:color w:val="000000"/>
                <w:sz w:val="24"/>
                <w:szCs w:val="24"/>
                <w:lang w:eastAsia="fr-FR"/>
              </w:rPr>
              <w:br/>
              <w:t xml:space="preserve">15 </w:t>
            </w:r>
          </w:p>
        </w:tc>
      </w:tr>
      <w:tr w:rsidR="00E93844" w:rsidRPr="007C0773" w:rsidTr="00DF14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Auto-évaluation du patient : satisfaction avec aspect de la chevelure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750)</w:t>
            </w:r>
            <w:r w:rsidRPr="007C0773">
              <w:rPr>
                <w:rFonts w:ascii="Times New Roman" w:eastAsia="Times New Roman" w:hAnsi="Times New Roman" w:cs="Times New Roman"/>
                <w:color w:val="000000"/>
                <w:sz w:val="24"/>
                <w:szCs w:val="24"/>
                <w:lang w:eastAsia="fr-FR"/>
              </w:rPr>
              <w:b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747)</w:t>
            </w:r>
            <w:r w:rsidRPr="007C0773">
              <w:rPr>
                <w:rFonts w:ascii="Times New Roman" w:eastAsia="Times New Roman" w:hAnsi="Times New Roman" w:cs="Times New Roman"/>
                <w:color w:val="000000"/>
                <w:sz w:val="24"/>
                <w:szCs w:val="24"/>
                <w:lang w:eastAsia="fr-FR"/>
              </w:rPr>
              <w:b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535)</w:t>
            </w:r>
            <w:r w:rsidRPr="007C0773">
              <w:rPr>
                <w:rFonts w:ascii="Times New Roman" w:eastAsia="Times New Roman" w:hAnsi="Times New Roman" w:cs="Times New Roman"/>
                <w:color w:val="000000"/>
                <w:sz w:val="24"/>
                <w:szCs w:val="24"/>
                <w:lang w:eastAsia="fr-FR"/>
              </w:rPr>
              <w:b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60)</w:t>
            </w:r>
            <w:r w:rsidRPr="007C0773">
              <w:rPr>
                <w:rFonts w:ascii="Times New Roman" w:eastAsia="Times New Roman" w:hAnsi="Times New Roman" w:cs="Times New Roman"/>
                <w:color w:val="000000"/>
                <w:sz w:val="24"/>
                <w:szCs w:val="24"/>
                <w:lang w:eastAsia="fr-FR"/>
              </w:rPr>
              <w:b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284)</w:t>
            </w:r>
            <w:r w:rsidRPr="007C0773">
              <w:rPr>
                <w:rFonts w:ascii="Times New Roman" w:eastAsia="Times New Roman" w:hAnsi="Times New Roman" w:cs="Times New Roman"/>
                <w:color w:val="000000"/>
                <w:sz w:val="24"/>
                <w:szCs w:val="24"/>
                <w:lang w:eastAsia="fr-FR"/>
              </w:rPr>
              <w:b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844" w:rsidRPr="007C0773" w:rsidRDefault="00E93844" w:rsidP="00DF14AF">
            <w:pPr>
              <w:spacing w:after="0" w:line="240" w:lineRule="auto"/>
              <w:jc w:val="center"/>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(N = 15)</w:t>
            </w:r>
            <w:r w:rsidRPr="007C0773">
              <w:rPr>
                <w:rFonts w:ascii="Times New Roman" w:eastAsia="Times New Roman" w:hAnsi="Times New Roman" w:cs="Times New Roman"/>
                <w:color w:val="000000"/>
                <w:sz w:val="24"/>
                <w:szCs w:val="24"/>
                <w:lang w:eastAsia="fr-FR"/>
              </w:rPr>
              <w:br/>
              <w:t xml:space="preserve">20 </w:t>
            </w:r>
          </w:p>
        </w:tc>
      </w:tr>
    </w:tbl>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xml:space="preserve">  </w:t>
      </w:r>
      <w:r w:rsidRPr="007C0773">
        <w:rPr>
          <w:rFonts w:ascii="Times New Roman" w:eastAsia="Times New Roman" w:hAnsi="Times New Roman" w:cs="Times New Roman"/>
          <w:color w:val="000000"/>
          <w:sz w:val="20"/>
          <w:szCs w:val="20"/>
          <w:lang w:eastAsia="fr-FR"/>
        </w:rPr>
        <w:t xml:space="preserve">Randomisation 1:1 </w:t>
      </w:r>
      <w:proofErr w:type="spellStart"/>
      <w:r>
        <w:rPr>
          <w:rFonts w:ascii="Times New Roman" w:eastAsia="Times New Roman" w:hAnsi="Times New Roman" w:cs="Times New Roman"/>
          <w:color w:val="000000"/>
          <w:sz w:val="20"/>
          <w:szCs w:val="20"/>
          <w:lang w:eastAsia="fr-FR"/>
        </w:rPr>
        <w:t>Finastéride</w:t>
      </w:r>
      <w:proofErr w:type="spellEnd"/>
      <w:r w:rsidRPr="007C0773">
        <w:rPr>
          <w:rFonts w:ascii="Times New Roman" w:eastAsia="Times New Roman" w:hAnsi="Times New Roman" w:cs="Times New Roman"/>
          <w:color w:val="000000"/>
          <w:sz w:val="20"/>
          <w:szCs w:val="20"/>
          <w:lang w:eastAsia="fr-FR"/>
        </w:rPr>
        <w:t xml:space="preserve"> vs placebo.</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vertAlign w:val="superscript"/>
          <w:lang w:eastAsia="fr-FR"/>
        </w:rPr>
        <w:t>**</w:t>
      </w:r>
      <w:r w:rsidRPr="007C0773">
        <w:rPr>
          <w:rFonts w:ascii="Times New Roman" w:eastAsia="Times New Roman" w:hAnsi="Times New Roman" w:cs="Times New Roman"/>
          <w:color w:val="000000"/>
          <w:sz w:val="24"/>
          <w:szCs w:val="24"/>
          <w:lang w:eastAsia="fr-FR"/>
        </w:rPr>
        <w:t xml:space="preserve">  </w:t>
      </w:r>
      <w:r w:rsidRPr="007C0773">
        <w:rPr>
          <w:rFonts w:ascii="Times New Roman" w:eastAsia="Times New Roman" w:hAnsi="Times New Roman" w:cs="Times New Roman"/>
          <w:color w:val="000000"/>
          <w:sz w:val="20"/>
          <w:szCs w:val="20"/>
          <w:lang w:eastAsia="fr-FR"/>
        </w:rPr>
        <w:t xml:space="preserve">Randomisation 9:1 </w:t>
      </w:r>
      <w:proofErr w:type="spellStart"/>
      <w:r>
        <w:rPr>
          <w:rFonts w:ascii="Times New Roman" w:eastAsia="Times New Roman" w:hAnsi="Times New Roman" w:cs="Times New Roman"/>
          <w:color w:val="000000"/>
          <w:sz w:val="20"/>
          <w:szCs w:val="20"/>
          <w:lang w:eastAsia="fr-FR"/>
        </w:rPr>
        <w:t>Finastéride</w:t>
      </w:r>
      <w:proofErr w:type="spellEnd"/>
      <w:r w:rsidRPr="007C0773">
        <w:rPr>
          <w:rFonts w:ascii="Times New Roman" w:eastAsia="Times New Roman" w:hAnsi="Times New Roman" w:cs="Times New Roman"/>
          <w:color w:val="000000"/>
          <w:sz w:val="20"/>
          <w:szCs w:val="20"/>
          <w:lang w:eastAsia="fr-FR"/>
        </w:rPr>
        <w:t xml:space="preserve"> vs placebo.</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Dans une étude sur 12 mois conduite chez des hommes présentant une alopécie de la région frontale/médiane, le nombre de cheveux a été obtenu dans une zone représentative de 1 cm</w:t>
      </w:r>
      <w:r w:rsidRPr="007C0773">
        <w:rPr>
          <w:rFonts w:ascii="Verdana" w:eastAsia="Times New Roman" w:hAnsi="Verdana" w:cs="Times New Roman"/>
          <w:color w:val="000000"/>
          <w:sz w:val="20"/>
          <w:szCs w:val="20"/>
          <w:vertAlign w:val="superscript"/>
          <w:lang w:eastAsia="fr-FR"/>
        </w:rPr>
        <w:t>2</w:t>
      </w:r>
      <w:r w:rsidRPr="007C0773">
        <w:rPr>
          <w:rFonts w:ascii="Times New Roman" w:eastAsia="Times New Roman" w:hAnsi="Times New Roman" w:cs="Times New Roman"/>
          <w:color w:val="000000"/>
          <w:sz w:val="24"/>
          <w:szCs w:val="24"/>
          <w:lang w:eastAsia="fr-FR"/>
        </w:rPr>
        <w:t xml:space="preserve"> (approximativement 1/5 de la zone étudiée dans les études du vertex). Le nombre de cheveux, ajusté à une zone de 5,1 cm</w:t>
      </w:r>
      <w:r w:rsidRPr="007C0773">
        <w:rPr>
          <w:rFonts w:ascii="Verdana" w:eastAsia="Times New Roman" w:hAnsi="Verdana" w:cs="Times New Roman"/>
          <w:color w:val="000000"/>
          <w:sz w:val="20"/>
          <w:szCs w:val="20"/>
          <w:vertAlign w:val="superscript"/>
          <w:lang w:eastAsia="fr-FR"/>
        </w:rPr>
        <w:t>2</w:t>
      </w:r>
      <w:r w:rsidRPr="007C0773">
        <w:rPr>
          <w:rFonts w:ascii="Times New Roman" w:eastAsia="Times New Roman" w:hAnsi="Times New Roman" w:cs="Times New Roman"/>
          <w:color w:val="000000"/>
          <w:sz w:val="24"/>
          <w:szCs w:val="24"/>
          <w:lang w:eastAsia="fr-FR"/>
        </w:rPr>
        <w:t xml:space="preserve"> a augmenté de 49 cheveux (5 %) par rapport au nombre initial et de 59 cheveux (6 %) par rapport au placebo. Cette étude a également démontré une amélioration significative de l'auto-évaluation des patients, de l'évaluation des investigateurs, et des cotations des photographies du cuir chevelu réalisées par le groupe d'experts dermatologues. </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Deux études d'une durée de 12 et 24 semaines ont montré qu'une dose égale à 5 fois la dose recommandée (5 mg de </w:t>
      </w:r>
      <w:proofErr w:type="spellStart"/>
      <w:r w:rsidRPr="007C0773">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par jour) a causé une diminution médiane du volume de l'éjaculat d'environ 0,5 ml (- 25 %) par rapport au placebo. Cette diminution a été réversible à l'arrêt du traitement. Dans une étude d'une durée de 48 semaines, le </w:t>
      </w:r>
      <w:proofErr w:type="spellStart"/>
      <w:r w:rsidRPr="007C0773">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1 mg/jour a entraîné une diminution moyenne du volume de l'éjaculat de 0,3 ml (- 11 %) comparé à une diminution de 0,2 ml (- 8 %) dans le groupe placebo. </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Aucun effet sur le nombre des spermatozoïdes, leur motilité ou morphologie n'a été observé. Les données à plus long terme ne sont pas disponibles. Il n'a pas été possible d'entreprendre des études cliniques, qui évalueraient directement les effets négatifs potentiels sur la fertilité. </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Cependant, il est considéré que de tels effets sont très improbables (</w:t>
      </w:r>
      <w:proofErr w:type="spellStart"/>
      <w:r w:rsidRPr="007C0773">
        <w:rPr>
          <w:rFonts w:ascii="Times New Roman" w:eastAsia="Times New Roman" w:hAnsi="Times New Roman" w:cs="Times New Roman"/>
          <w:color w:val="000000"/>
          <w:sz w:val="24"/>
          <w:szCs w:val="24"/>
          <w:lang w:eastAsia="fr-FR"/>
        </w:rPr>
        <w:t>cf</w:t>
      </w:r>
      <w:proofErr w:type="spellEnd"/>
      <w:r w:rsidRPr="007C0773">
        <w:rPr>
          <w:rFonts w:ascii="Times New Roman" w:eastAsia="Times New Roman" w:hAnsi="Times New Roman" w:cs="Times New Roman"/>
          <w:color w:val="000000"/>
          <w:sz w:val="24"/>
          <w:szCs w:val="24"/>
          <w:lang w:eastAsia="fr-FR"/>
        </w:rPr>
        <w:t xml:space="preserve"> Sécurité préclinique). </w:t>
      </w:r>
    </w:p>
    <w:p w:rsidR="00E93844" w:rsidRPr="007C0773" w:rsidRDefault="00E93844" w:rsidP="00E93844">
      <w:pPr>
        <w:spacing w:after="0" w:line="240" w:lineRule="auto"/>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i/>
          <w:iCs/>
          <w:color w:val="000000"/>
          <w:sz w:val="24"/>
          <w:szCs w:val="24"/>
          <w:lang w:eastAsia="fr-FR"/>
        </w:rPr>
        <w:t>Études chez la femme :</w:t>
      </w:r>
      <w:r w:rsidRPr="007C0773">
        <w:rPr>
          <w:rFonts w:ascii="Times New Roman" w:eastAsia="Times New Roman" w:hAnsi="Times New Roman" w:cs="Times New Roman"/>
          <w:color w:val="000000"/>
          <w:sz w:val="24"/>
          <w:szCs w:val="24"/>
          <w:lang w:eastAsia="fr-FR"/>
        </w:rPr>
        <w:t xml:space="preserve"> </w:t>
      </w:r>
    </w:p>
    <w:p w:rsidR="00E93844" w:rsidRPr="007C0773" w:rsidRDefault="00E93844" w:rsidP="00E93844">
      <w:pPr>
        <w:spacing w:after="0" w:line="240" w:lineRule="auto"/>
        <w:ind w:left="720"/>
        <w:rPr>
          <w:rFonts w:ascii="Times New Roman" w:eastAsia="Times New Roman" w:hAnsi="Times New Roman" w:cs="Times New Roman"/>
          <w:color w:val="000000"/>
          <w:sz w:val="24"/>
          <w:szCs w:val="24"/>
          <w:lang w:eastAsia="fr-FR"/>
        </w:rPr>
      </w:pPr>
      <w:r w:rsidRPr="007C0773">
        <w:rPr>
          <w:rFonts w:ascii="Times New Roman" w:eastAsia="Times New Roman" w:hAnsi="Times New Roman" w:cs="Times New Roman"/>
          <w:color w:val="000000"/>
          <w:sz w:val="24"/>
          <w:szCs w:val="24"/>
          <w:lang w:eastAsia="fr-FR"/>
        </w:rPr>
        <w:t xml:space="preserve">Chez les femmes ménopausées atteintes d'une alopécie </w:t>
      </w:r>
      <w:proofErr w:type="spellStart"/>
      <w:r w:rsidRPr="007C0773">
        <w:rPr>
          <w:rFonts w:ascii="Times New Roman" w:eastAsia="Times New Roman" w:hAnsi="Times New Roman" w:cs="Times New Roman"/>
          <w:color w:val="000000"/>
          <w:sz w:val="24"/>
          <w:szCs w:val="24"/>
          <w:lang w:eastAsia="fr-FR"/>
        </w:rPr>
        <w:t>androgénétique</w:t>
      </w:r>
      <w:proofErr w:type="spellEnd"/>
      <w:r w:rsidRPr="007C0773">
        <w:rPr>
          <w:rFonts w:ascii="Times New Roman" w:eastAsia="Times New Roman" w:hAnsi="Times New Roman" w:cs="Times New Roman"/>
          <w:color w:val="000000"/>
          <w:sz w:val="24"/>
          <w:szCs w:val="24"/>
          <w:lang w:eastAsia="fr-FR"/>
        </w:rPr>
        <w:t xml:space="preserve"> et traitées par le </w:t>
      </w:r>
      <w:proofErr w:type="spellStart"/>
      <w:r w:rsidRPr="007C0773">
        <w:rPr>
          <w:rFonts w:ascii="Times New Roman" w:eastAsia="Times New Roman" w:hAnsi="Times New Roman" w:cs="Times New Roman"/>
          <w:color w:val="000000"/>
          <w:sz w:val="24"/>
          <w:szCs w:val="24"/>
          <w:lang w:eastAsia="fr-FR"/>
        </w:rPr>
        <w:t>finastéride</w:t>
      </w:r>
      <w:proofErr w:type="spellEnd"/>
      <w:r w:rsidRPr="007C0773">
        <w:rPr>
          <w:rFonts w:ascii="Times New Roman" w:eastAsia="Times New Roman" w:hAnsi="Times New Roman" w:cs="Times New Roman"/>
          <w:color w:val="000000"/>
          <w:sz w:val="24"/>
          <w:szCs w:val="24"/>
          <w:lang w:eastAsia="fr-FR"/>
        </w:rPr>
        <w:t xml:space="preserve"> à 1 mg par jour pendant 12 mois, l'efficacité de ce traitement n'a pas été démontrée.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93844"/>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15F11"/>
    <w:rsid w:val="00945368"/>
    <w:rsid w:val="009D77C6"/>
    <w:rsid w:val="009F430A"/>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93844"/>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5018</Characters>
  <Application>Microsoft Office Word</Application>
  <DocSecurity>0</DocSecurity>
  <Lines>41</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2013-11-13T08:45:00Z</dcterms:created>
  <dcterms:modified xsi:type="dcterms:W3CDTF">2013-11-13T08:46:00Z</dcterms:modified>
</cp:coreProperties>
</file>